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mallCaps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32"/>
          <w:szCs w:val="32"/>
          <w:rtl w:val="0"/>
        </w:rPr>
        <w:t xml:space="preserve">Conference Schedule 2023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16</w:t>
      </w:r>
      <w:r w:rsidDel="00000000" w:rsidR="00000000" w:rsidRPr="00000000">
        <w:rPr>
          <w:rFonts w:ascii="Garamond" w:cs="Garamond" w:eastAsia="Garamond" w:hAnsi="Garamond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Annual Cambridge Graduate Conference in the Philosophy of Mathematics and Logic</w:t>
      </w:r>
    </w:p>
    <w:tbl>
      <w:tblPr>
        <w:tblStyle w:val="Table1"/>
        <w:tblW w:w="9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1285"/>
        <w:gridCol w:w="5477"/>
        <w:tblGridChange w:id="0">
          <w:tblGrid>
            <w:gridCol w:w="2254"/>
            <w:gridCol w:w="1285"/>
            <w:gridCol w:w="5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Event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Jan 2023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Registration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9:30-10:45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Leon Commandeur</w:t>
            </w:r>
          </w:p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Logical Instrumentalism and Anti-Exceptionalism About Logic</w:t>
            </w:r>
          </w:p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Ben Marschall</w:t>
            </w:r>
          </w:p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Wouter Cohen</w:t>
            </w:r>
          </w:p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10:45-11:15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11:15-12:30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Maciej Tarnowski</w:t>
            </w:r>
          </w:p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No Doxastically Innocent Explanations of Moore’s Paradox</w:t>
            </w:r>
          </w:p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Michael Potter</w:t>
            </w:r>
          </w:p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Myesha Jemison</w:t>
            </w:r>
          </w:p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12:30-14:00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14:00-15:15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Yonathan Fiat</w:t>
            </w:r>
          </w:p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Omega Knowledge Without KK</w:t>
            </w:r>
          </w:p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Alexander Bird</w:t>
            </w:r>
          </w:p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Adrià Segarra</w:t>
            </w:r>
          </w:p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15:15-15:45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15:45-17:00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Keynote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Richard Pettigrew</w:t>
            </w:r>
          </w:p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On Choosing How to Choose</w:t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20:30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Conference Dinner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Bedtime</w:t>
            </w:r>
          </w:p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Jan 2023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9:00-9:30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9:30-10:45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Frederik Andersen</w:t>
            </w:r>
          </w:p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Logical Akrasia</w:t>
            </w:r>
          </w:p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Henrik Sherling</w:t>
            </w:r>
          </w:p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Karim Shoaib</w:t>
            </w:r>
          </w:p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10:45-11:15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11:15-12:30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highlight w:val="white"/>
                <w:rtl w:val="0"/>
              </w:rPr>
              <w:t xml:space="preserve">Niccolò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Rossi</w:t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highlight w:val="white"/>
                <w:rtl w:val="0"/>
              </w:rPr>
              <w:t xml:space="preserve">A hyperintensional approach to epistemic possibility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Neil Dewar</w:t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Sara White</w:t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12:30-14:00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14:00-15:15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Speaker: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Benjamin Zayton</w:t>
            </w:r>
          </w:p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Can the No Alternatives Argument Licence Full Belief?</w:t>
            </w:r>
          </w:p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Responder: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Jacob Stegenga</w:t>
            </w:r>
          </w:p>
          <w:p w:rsidR="00000000" w:rsidDel="00000000" w:rsidP="00000000" w:rsidRDefault="00000000" w:rsidRPr="00000000" w14:paraId="00000068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Marcus Ackermann</w:t>
            </w:r>
          </w:p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15:15-15:45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15:45-17:00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Keynote: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Jan Sprenger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Title: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Counterfactuals: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color w:val="222222"/>
                <w:highlight w:val="white"/>
                <w:rtl w:val="0"/>
              </w:rPr>
              <w:t xml:space="preserve">Semantics, Logic and Probability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D0A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3z9Lsf+IziS2oacYvmLITZbZ3A==">AMUW2mV9khpfivxHYk/Er9KAAfu3RXubhrFS/PsQcFOMwGQuTE0ZmKysf18W+YiWWAjyqfMO1Q8xZ0MACIhh+2QzHeI+RD8hZiy3TxjUzI7AayH4f9NXZxM=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2022-01-05T16:46:00Z</dcterms:created>
  <dc:creator>Aiden Woodcock</dc:creator>
</cp:coreProperties>
</file>